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000000"/>
              <w:left w:val="none" w:sz="5" w:space="0" w:color="000000"/>
              <w:bottom w:val="single" w:sz="10" w:space="0" w:color="000000"/>
              <w:right w:val="none" w:sz="5" w:space="0" w:color="000000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color w:val="000000"/>
              </w:rPr>
              <w:t>МБУ г.о. Октябрьск «Дом культуры «Железнодорожник»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885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1. ОТКРЫТОСТЬ И ДОСТУПНОСТЬ ИНФОРМАЦИИ ОБ ОРГАНИЗАЦИИ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Показатели, характеризующие открытость и доступность информации об организации, измерялись посредством: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оценки контента информации о деятельности организации, размещенной на информационных стендах в помещении и на территории организации;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оценки контента информации о деятельности организации, размещенной на официальном сайте организации;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определения наличия на официальном сайте организации информации о дистанционных способах обратной связи и взаимодействия с получателями услуг, а также оценки их функционирования (телефона;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определения доли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и на официальном сайте организации (в % от общего числа опрошенных получателей услуг).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1.1.  Соответствие информации о деятельности организации, размещенной на информационных стендах в помещении и на территории организации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 соответствии  со ст. 36.2. Основы законодательства Российской Федерации о культуре (утв. ВС РФ 09.10.1992 N 3612-1) (ред. от 30.04.2021) на информационных стендах организаций культуры необходимо разместить 13 документов.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Количество документов, размещенных на стенде на момент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Необходимо обеспечить размещение на стенде следующих документов: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Структура и органы управления учреждения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1.2. Соответствие информации о деятельности организации, размещенной на официальном сайте организации в сети «Интернет»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 соответствии с приказом 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на официальном сайте организации необходимо разместить 19 документов. 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Количество документов, размещенных на сайте на момент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13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Необходимо обеспечить размещение на сайте следующих документов: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  <w:color w:val="000000"/>
              </w:rPr>
              <w:t>- Дата создания организации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  <w:color w:val="000000"/>
              </w:rPr>
              <w:t>- Структура организации культуры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  <w:color w:val="000000"/>
              </w:rPr>
              <w:t>- Режим (время), график (дни) работы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  <w:color w:val="000000"/>
              </w:rPr>
              <w:t>- Информация о материально-техническом обеспечении предоставления услуг организацией культуры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  <w:color w:val="000000"/>
              </w:rPr>
              <w:t>- Информация о планируемых мероприятиях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  <w:color w:val="000000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1.3.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 ходе независимой оценки проверялось функционирование 5-ти дистанционных способов обратной связи: посредством телефона, электронной почты, электронных сервисов обратной связи на сайте (форма обратной связи, онлайн-консультант и пр.), раздела «часто задаваемые вопросы», выражения получателем услуг мнения о качестве условий оказания услуг (наличие на сайте анкеты для опроса граждан или гиперссылки на нее).</w:t>
            </w:r>
          </w:p>
        </w:tc>
      </w:tr>
      <w:tr>
        <w:trPr>
          <w:cantSplit/>
          <w:trHeight w:val="0" w:hRule="auto"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Число способов обратной связи, функционирующих на момент оценки: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3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В ходе проверки организации были выявлены недостатки в функционировании следующих способов коммуникации с получателями услуг: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В ходе оценки был выявлен факт отсутствия/неработоспособность интернет-сервиса для взаимодействия с посетителями. Рекомендация: необходимо обеспечить контроль за своевременным взаимодействием с получателями услуг с помощью встроенного интернет-сервиса.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 xml:space="preserve">  - В ходе оценки зафиксирован факт отсутствия раздела «Часто задаваемые вопросы». В целях обеспечения открытости и доступности информации об организации целесообразно разместить данный раздел на сайте организации.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1.4. Удовлетворенность открытостью, полнотой и доступностью информации об организации</w:t>
            </w:r>
          </w:p>
        </w:tc>
      </w:tr>
      <w:tr>
        <w:trPr>
          <w:cantSplit/>
          <w:trHeight w:val="0" w:hRule="auto"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 ходе проведения опроса получателей услуг зафиксирована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открытостью, полнотой и доступностью информации, размещенной на информационных стендах: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100</w:t>
            </w: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Для сохранения высокого уровня удовлетворенности открытостью, полнотой и доступностью информации и его постоянного повышения, необходимо соблюдать определенные требования. Информация должна быть актуальной, своевременной и содержательной. 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открытостью, полнотой и доступностью информации, размещенной на сайте организации: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100</w:t>
            </w: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Для сохранения высокого уровня удовлетворенности открытостью, полнотой и доступностью информации, размещенной на сайте организации, и его повышения, необходимо осуществлять контроль за своевременным обновлением контента сайта.  Необходимо проводить диагностику удобства навигации по сайту.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2. КОМФОРТНОСТЬ УСЛОВИЙ ПРЕДОСТАВЛЕНИЯ УСЛУГ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2.1. Обеспечение в организации комфортных условий для предоставления услуг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Уровень и качество обеспечения комфортных условий предоставления услуг определялся посредством экспертной оценки внутренних помещений и внешней территории организации. Оценивалось наличие следующих условий: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зоны ожидания (отдыха);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и понятность навигации внутри организации;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доступная питьевая вода;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и доступность санитарно-гигиенических помещений;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и достаточность гардеробов;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санитарное состояние помещений организаций;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транспортная доступность (возможность доехать до организации на общественном транспорте, наличие парковки);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доступность записи на получение услуги (по телефону, на официальном сайте организации и пр.).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Количество условий комфортности на момент проведения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8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Таким образом, в организации обеспечены все требуемые условия комфортности для получателей услуг.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504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2.2. Время ожидания предоставления услуги:</w:t>
            </w: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Показатель  «Время ожидания предоставления услуги» в сфере культуры не установлен.  Значение показателя рассчитывается как среднее арифметическое количество баллов по измеряемым критериям «Обеспечение в организации социальной сферы комфортных условий для предоставления услуг» и «Доля получателей услуг, удовлетворенных комфортностью предоставления услуг организацией социальной сферы».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2.3. Удовлетворенность комфортностью предоставления услуг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комфортностью предоставления услуг: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98</w:t>
            </w: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(в том числе, санитарно-гигиенических зон, в которых необходимо размещать автоматические сушилки или бумажные полотенца, мыло, туалетную бумагу), территории, прилегающей к зданию организации, следить за состоянием мебели, доступностью питьевой воды и понятностью навигации внутри помещений организации.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комфортностью условий оказания услуг.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6225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3. ДОСТУПНОСТЬ УСЛУГ ДЛЯ ИНВАЛИДОВ</w:t>
            </w: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возможностями, а также условий доступности, позволяющих инвалидам получать услуги наравне с другими.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3.1. Оборудование помещений организации и прилегающей к ней территории с учетом доступности для инвалидов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 рамках независимой оценки качества условий оказания услуг оценивались следующие элементы доступной среды: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оборудование входных групп пандусами (подъемными платформами);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выделенных стоянок для автотранспортных средств инвалидов;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адаптированных лифтов, поручней, наличие расширенных дверных проемов;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сменных кресел-колясок;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специально оборудованных для инвалидов санитарно-гигиенических помещений.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Количество элементов доступной среды на момент проведения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000000" w:fill="fffff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Для обеспечения доступной среды для маломобильных получателей услуг необходимо оборудовать помещения и территорию организации следующими элементами: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наличие сменных кресел-колясок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Наряду с оценкой доступности помещений и прилегающих территорий организации производилась оценка условий доступности, позволяющих инвалидам получать услуги наравне с другими. Учитывались следующие условия доступности услуг: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дублирование для инвалидов по слуху и зрению звуковой и зрительной информации;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возможность предоставления инвалидам по слуху (слуху и зрению) услуг сурдопереводчика (тифлосурдопереводчика);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альтернативной версии официального сайта организации для инвалидов по зрению;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помощь, оказываемая работниками, прошедшими обучение по сопровождению инвалидов в помещении организации;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возможности предоставления услуги в дистанционном режиме или на дому.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Количество условий доступности для инвалидов: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Для обеспечения условий доступности, позволяющих инвалидам получать услуги наравне с другими, необходимо обеспечить следующие условия: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3.3. Удовлетворенность доступностью услуг для инвалидов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доступностью услуг для инвалидов: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98</w:t>
            </w: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условий, позволяющих инвалидам получать услуги наравне с другими.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доступностью услуг для инвалидов.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4. ДОБРОЖЕЛАТЕЛЬНОСТЬ, ВЕЖЛИВОСТЬ РАБОТНИКОВ ОРГАНИЗАЦИИ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Показатель «Доброжелательность, вежливость работников организации» формируется за счет получения субъективных оценок получателей услуг, собираемых в ходе опроса.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99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(учреждение):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99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получение консультации по оказываемым услугам и пр.):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100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Для сохранения высокого уровня удовлетворенности доброжелательностью и вежливостью сотрудников организации и повышения этого уровня важно выстраивать с получателями грамотную коммуникацию. Основным принципом взаимоотношений между получателем услуг и представителем организации должен стать принцип уважения к личности. Культура общения  проявляется в умении выслушать, в проявлении отзывчивости и сопереживания.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доброжелательностью и вежливостью сотрудников организации.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5. УДОВЛЕТВОРЕННОСТЬ УСЛОВИЯМИ ОКАЗАНИЯ УСЛУГ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которые готовы рекомендовать организацию культуры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99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организационными условиями оказания услуг (графиком и режимом работы) организации 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99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в целом условиями оказания услуг в организации культуры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99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Уровень удовлетворенности условиями оказания услуг зависит от совокупности факторов, в том числе рассматриваемых в рамках независимой оценки качества.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Важным направлением повышения уровня удовлетворенности выступает диалог с получателями услуг, в ходе которого можно определить причины недовольства, выявить недостатки в работе организации, найти оптимальные варианты решения проблем.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разными аспектами условий оказания услуг, тренинги с сотрудниками организации, повышающие коммуникативные компетенции и снижающие риск возникновения синдрома профессионального выгорания.</w:t>
            </w:r>
          </w:p>
        </w:tc>
      </w:tr>
    </w:tbl>
    <w:sectPr>
      <w:footerReference w:type="default" r:id="rId9"/>
      <w:footerReference w:type="first" r:id="rId11"/>
      <w:pgSz w:w="11907" w:h="16839" w:orient="portrait"/>
      <w:pgMar w:top="567" w:right="567" w:bottom="567" w:left="1417"/>
      <w:titlePg/>
    </w:sectPr>
  </w:body>
</w:document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center" w:relativeTo="margin" w:leader="none"/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</w:sdt>
  <w:p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9">
    <w:name w:val="footer"/>
  </w:style>
  <w:style w:type="paragraph" w:styleId="rId11">
    <w:name w:val="foot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